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D2F" w:rsidRDefault="00CF2D2F" w:rsidP="00CF2D2F">
      <w:pPr>
        <w:spacing w:line="276" w:lineRule="auto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ЗВІТ</w:t>
      </w:r>
    </w:p>
    <w:p w:rsidR="00CF2D2F" w:rsidRDefault="00CF2D2F" w:rsidP="00CF2D2F">
      <w:pPr>
        <w:spacing w:line="276" w:lineRule="auto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 результати виконання</w:t>
      </w:r>
      <w:r w:rsidR="00C66952">
        <w:rPr>
          <w:b/>
          <w:bCs/>
          <w:color w:val="000000"/>
          <w:sz w:val="28"/>
          <w:szCs w:val="28"/>
          <w:lang w:val="uk-UA"/>
        </w:rPr>
        <w:t xml:space="preserve"> Програми</w:t>
      </w:r>
    </w:p>
    <w:p w:rsidR="0020396D" w:rsidRPr="001807C4" w:rsidRDefault="0020396D" w:rsidP="0020396D">
      <w:pPr>
        <w:jc w:val="center"/>
        <w:rPr>
          <w:b/>
          <w:sz w:val="28"/>
          <w:szCs w:val="24"/>
          <w:lang w:val="uk-UA" w:eastAsia="zh-CN"/>
        </w:rPr>
      </w:pPr>
      <w:r w:rsidRPr="001807C4">
        <w:rPr>
          <w:b/>
          <w:sz w:val="28"/>
          <w:szCs w:val="24"/>
          <w:lang w:val="uk-UA" w:eastAsia="zh-CN"/>
        </w:rPr>
        <w:t xml:space="preserve">інформатизації відділу культури і туризму </w:t>
      </w:r>
    </w:p>
    <w:p w:rsidR="0020396D" w:rsidRPr="001807C4" w:rsidRDefault="0020396D" w:rsidP="0020396D">
      <w:pPr>
        <w:jc w:val="center"/>
        <w:rPr>
          <w:b/>
          <w:sz w:val="28"/>
          <w:szCs w:val="28"/>
          <w:lang w:val="uk-UA"/>
        </w:rPr>
      </w:pPr>
      <w:r w:rsidRPr="001807C4">
        <w:rPr>
          <w:b/>
          <w:sz w:val="28"/>
          <w:szCs w:val="28"/>
          <w:lang w:val="uk-UA"/>
        </w:rPr>
        <w:t xml:space="preserve">Новгород-Сіверської міської ради Чернігівської області </w:t>
      </w:r>
    </w:p>
    <w:p w:rsidR="0020396D" w:rsidRPr="001807C4" w:rsidRDefault="0020396D" w:rsidP="0020396D">
      <w:pPr>
        <w:jc w:val="center"/>
        <w:rPr>
          <w:b/>
          <w:sz w:val="28"/>
          <w:szCs w:val="28"/>
          <w:lang w:val="uk-UA"/>
        </w:rPr>
      </w:pPr>
      <w:r w:rsidRPr="001807C4">
        <w:rPr>
          <w:b/>
          <w:sz w:val="28"/>
          <w:szCs w:val="24"/>
          <w:lang w:val="uk-UA" w:eastAsia="zh-CN"/>
        </w:rPr>
        <w:t>на 2023-2025 роки</w:t>
      </w:r>
    </w:p>
    <w:p w:rsidR="007D07C5" w:rsidRPr="003241BE" w:rsidRDefault="007D07C5" w:rsidP="00CF2D2F">
      <w:pPr>
        <w:jc w:val="center"/>
        <w:rPr>
          <w:b/>
          <w:sz w:val="28"/>
          <w:szCs w:val="28"/>
          <w:lang w:val="uk-UA"/>
        </w:rPr>
      </w:pPr>
    </w:p>
    <w:p w:rsidR="00E64082" w:rsidRPr="00E64082" w:rsidRDefault="007D07C5" w:rsidP="00E6408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Затверджена </w:t>
      </w:r>
      <w:r w:rsidR="00E64082" w:rsidRPr="00E64082">
        <w:rPr>
          <w:sz w:val="28"/>
          <w:szCs w:val="28"/>
          <w:lang w:val="uk-UA"/>
        </w:rPr>
        <w:t>Рішення дев’ятнадцятої   позачергової сесії Новгород-Сіверської  міської ради    VIII скликання</w:t>
      </w:r>
    </w:p>
    <w:p w:rsidR="00E64082" w:rsidRPr="00E64082" w:rsidRDefault="00E64082" w:rsidP="00E6408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Pr="00E64082">
        <w:rPr>
          <w:sz w:val="28"/>
          <w:szCs w:val="28"/>
          <w:lang w:val="uk-UA"/>
        </w:rPr>
        <w:t xml:space="preserve"> грудня 2022 року № 74</w:t>
      </w:r>
      <w:r>
        <w:rPr>
          <w:sz w:val="28"/>
          <w:szCs w:val="28"/>
          <w:lang w:val="uk-UA"/>
        </w:rPr>
        <w:t xml:space="preserve">7 </w:t>
      </w:r>
      <w:r w:rsidRPr="00E64082">
        <w:rPr>
          <w:sz w:val="28"/>
          <w:szCs w:val="28"/>
          <w:lang w:val="uk-UA"/>
        </w:rPr>
        <w:t xml:space="preserve">(в редакції рішення </w:t>
      </w:r>
      <w:r>
        <w:rPr>
          <w:sz w:val="28"/>
          <w:szCs w:val="28"/>
          <w:lang w:val="uk-UA"/>
        </w:rPr>
        <w:t xml:space="preserve">23-ої </w:t>
      </w:r>
      <w:r w:rsidRPr="00E64082">
        <w:rPr>
          <w:sz w:val="28"/>
          <w:szCs w:val="28"/>
          <w:lang w:val="uk-UA"/>
        </w:rPr>
        <w:t>позачергової сесії Но</w:t>
      </w:r>
      <w:r>
        <w:rPr>
          <w:sz w:val="28"/>
          <w:szCs w:val="28"/>
          <w:lang w:val="uk-UA"/>
        </w:rPr>
        <w:t xml:space="preserve">вгород-Сіверської міської ради </w:t>
      </w:r>
      <w:r w:rsidRPr="00E64082">
        <w:rPr>
          <w:sz w:val="28"/>
          <w:szCs w:val="28"/>
          <w:lang w:val="uk-UA"/>
        </w:rPr>
        <w:t>VIIІ скликання</w:t>
      </w:r>
    </w:p>
    <w:p w:rsidR="00E64082" w:rsidRPr="00E64082" w:rsidRDefault="00E64082" w:rsidP="00E64082">
      <w:pPr>
        <w:jc w:val="both"/>
        <w:rPr>
          <w:sz w:val="28"/>
          <w:szCs w:val="28"/>
          <w:lang w:val="uk-UA"/>
        </w:rPr>
      </w:pPr>
      <w:r w:rsidRPr="00E64082">
        <w:rPr>
          <w:sz w:val="28"/>
          <w:szCs w:val="28"/>
          <w:lang w:val="uk-UA"/>
        </w:rPr>
        <w:t>від 24 квітня 2023 року № 840)</w:t>
      </w:r>
    </w:p>
    <w:p w:rsidR="00F17765" w:rsidRPr="00FE00DD" w:rsidRDefault="00F17765" w:rsidP="00E64082">
      <w:pPr>
        <w:ind w:firstLine="708"/>
        <w:jc w:val="both"/>
        <w:rPr>
          <w:sz w:val="28"/>
          <w:szCs w:val="28"/>
          <w:lang w:val="uk-UA"/>
        </w:rPr>
      </w:pPr>
      <w:r w:rsidRPr="00FE00DD">
        <w:rPr>
          <w:sz w:val="28"/>
          <w:szCs w:val="28"/>
          <w:lang w:val="uk-UA"/>
        </w:rPr>
        <w:t xml:space="preserve">                                                                             </w:t>
      </w:r>
    </w:p>
    <w:p w:rsidR="00CF2D2F" w:rsidRPr="007D07C5" w:rsidRDefault="00CF2D2F" w:rsidP="00F17765">
      <w:pPr>
        <w:pStyle w:val="21"/>
        <w:shd w:val="clear" w:color="auto" w:fill="auto"/>
        <w:tabs>
          <w:tab w:val="left" w:leader="underscore" w:pos="6914"/>
        </w:tabs>
        <w:spacing w:line="240" w:lineRule="auto"/>
        <w:ind w:firstLine="0"/>
        <w:jc w:val="both"/>
        <w:rPr>
          <w:rFonts w:ascii="Times New Roman" w:hAnsi="Times New Roman" w:cs="Times New Roman"/>
          <w:lang w:val="uk-UA"/>
        </w:rPr>
      </w:pPr>
      <w:r w:rsidRPr="007D07C5">
        <w:rPr>
          <w:rFonts w:ascii="Times New Roman" w:hAnsi="Times New Roman" w:cs="Times New Roman"/>
          <w:b/>
          <w:lang w:val="uk-UA"/>
        </w:rPr>
        <w:t>Відповідальний виконавець</w:t>
      </w:r>
      <w:r w:rsidRPr="007D07C5">
        <w:rPr>
          <w:rFonts w:ascii="Times New Roman" w:hAnsi="Times New Roman" w:cs="Times New Roman"/>
          <w:lang w:val="uk-UA"/>
        </w:rPr>
        <w:t xml:space="preserve"> Програми</w:t>
      </w:r>
      <w:r w:rsidR="007D07C5">
        <w:rPr>
          <w:rFonts w:ascii="Times New Roman" w:hAnsi="Times New Roman" w:cs="Times New Roman"/>
          <w:lang w:val="uk-UA"/>
        </w:rPr>
        <w:t xml:space="preserve"> Відділ культури і туризму Новгород-Сіверської міської ради Чернігівської області</w:t>
      </w:r>
    </w:p>
    <w:p w:rsidR="00CF2D2F" w:rsidRDefault="00CF2D2F" w:rsidP="00CF2D2F">
      <w:pPr>
        <w:pStyle w:val="21"/>
        <w:shd w:val="clear" w:color="auto" w:fill="auto"/>
        <w:tabs>
          <w:tab w:val="left" w:leader="underscore" w:pos="6914"/>
        </w:tabs>
        <w:spacing w:after="296" w:line="322" w:lineRule="exact"/>
        <w:ind w:firstLine="0"/>
        <w:jc w:val="both"/>
        <w:rPr>
          <w:rFonts w:ascii="Times New Roman" w:hAnsi="Times New Roman" w:cs="Times New Roman"/>
          <w:lang w:val="uk-UA"/>
        </w:rPr>
      </w:pPr>
      <w:r w:rsidRPr="007D07C5">
        <w:rPr>
          <w:rFonts w:ascii="Times New Roman" w:hAnsi="Times New Roman" w:cs="Times New Roman"/>
          <w:b/>
          <w:lang w:val="uk-UA"/>
        </w:rPr>
        <w:t>Термін реалізації Програми</w:t>
      </w:r>
      <w:r w:rsidR="007D07C5">
        <w:rPr>
          <w:rFonts w:ascii="Times New Roman" w:hAnsi="Times New Roman" w:cs="Times New Roman"/>
          <w:lang w:val="uk-UA"/>
        </w:rPr>
        <w:t>:</w:t>
      </w:r>
      <w:r w:rsidR="007D07C5" w:rsidRPr="007D07C5">
        <w:rPr>
          <w:rFonts w:ascii="Times New Roman" w:hAnsi="Times New Roman" w:cs="Times New Roman"/>
          <w:lang w:val="uk-UA"/>
        </w:rPr>
        <w:t xml:space="preserve"> 2025 рік</w:t>
      </w:r>
    </w:p>
    <w:p w:rsidR="00F72C49" w:rsidRDefault="00F72C49" w:rsidP="00CF2D2F">
      <w:pPr>
        <w:pStyle w:val="21"/>
        <w:shd w:val="clear" w:color="auto" w:fill="auto"/>
        <w:tabs>
          <w:tab w:val="left" w:leader="underscore" w:pos="6914"/>
        </w:tabs>
        <w:spacing w:after="296" w:line="322" w:lineRule="exact"/>
        <w:ind w:firstLine="0"/>
        <w:jc w:val="both"/>
        <w:rPr>
          <w:rFonts w:ascii="Times New Roman" w:hAnsi="Times New Roman" w:cs="Times New Roman"/>
          <w:lang w:val="uk-UA"/>
        </w:rPr>
      </w:pPr>
      <w:r w:rsidRPr="007D07C5">
        <w:rPr>
          <w:rFonts w:ascii="Times New Roman" w:hAnsi="Times New Roman" w:cs="Times New Roman"/>
          <w:lang w:val="uk-UA"/>
        </w:rPr>
        <w:t>1. Виконання заходів Програми</w:t>
      </w:r>
    </w:p>
    <w:tbl>
      <w:tblPr>
        <w:tblW w:w="143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"/>
        <w:gridCol w:w="2865"/>
        <w:gridCol w:w="2977"/>
        <w:gridCol w:w="1061"/>
        <w:gridCol w:w="1207"/>
        <w:gridCol w:w="1291"/>
        <w:gridCol w:w="1276"/>
        <w:gridCol w:w="1134"/>
        <w:gridCol w:w="1978"/>
      </w:tblGrid>
      <w:tr w:rsidR="00F72C49" w:rsidTr="007B2567">
        <w:trPr>
          <w:trHeight w:hRule="exact" w:val="140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2C49" w:rsidRDefault="00F72C49" w:rsidP="00F72C49">
            <w:pPr>
              <w:pStyle w:val="21"/>
              <w:shd w:val="clear" w:color="auto" w:fill="auto"/>
              <w:spacing w:after="60" w:line="190" w:lineRule="exact"/>
              <w:ind w:left="160" w:firstLine="0"/>
              <w:rPr>
                <w:lang w:val="uk-UA" w:eastAsia="ru-RU"/>
              </w:rPr>
            </w:pPr>
            <w:r>
              <w:rPr>
                <w:rStyle w:val="29"/>
                <w:rFonts w:eastAsiaTheme="minorHAnsi"/>
              </w:rPr>
              <w:t>№</w:t>
            </w:r>
          </w:p>
          <w:p w:rsidR="00F72C49" w:rsidRDefault="00F72C49" w:rsidP="00F72C49">
            <w:pPr>
              <w:pStyle w:val="21"/>
              <w:shd w:val="clear" w:color="auto" w:fill="auto"/>
              <w:spacing w:before="60" w:line="190" w:lineRule="exact"/>
              <w:ind w:left="160" w:firstLine="0"/>
              <w:rPr>
                <w:lang w:val="uk-UA" w:eastAsia="ru-RU"/>
              </w:rPr>
            </w:pPr>
            <w:r>
              <w:rPr>
                <w:rStyle w:val="29"/>
                <w:rFonts w:eastAsiaTheme="minorHAnsi"/>
              </w:rPr>
              <w:t>з/п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2C49" w:rsidRDefault="00F72C49" w:rsidP="00F72C49">
            <w:pPr>
              <w:pStyle w:val="21"/>
              <w:shd w:val="clear" w:color="auto" w:fill="auto"/>
              <w:spacing w:after="60" w:line="190" w:lineRule="exact"/>
              <w:ind w:firstLine="0"/>
              <w:jc w:val="center"/>
              <w:rPr>
                <w:lang w:val="uk-UA" w:eastAsia="ru-RU"/>
              </w:rPr>
            </w:pPr>
            <w:r>
              <w:rPr>
                <w:rStyle w:val="29"/>
                <w:rFonts w:eastAsiaTheme="minorHAnsi"/>
              </w:rPr>
              <w:t>Пріоритетні завданий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2C49" w:rsidRDefault="00F72C49" w:rsidP="00F72C49">
            <w:pPr>
              <w:pStyle w:val="21"/>
              <w:shd w:val="clear" w:color="auto" w:fill="auto"/>
              <w:spacing w:after="60" w:line="190" w:lineRule="exact"/>
              <w:ind w:firstLine="0"/>
              <w:jc w:val="center"/>
              <w:rPr>
                <w:lang w:val="uk-UA" w:eastAsia="ru-RU"/>
              </w:rPr>
            </w:pPr>
            <w:r>
              <w:rPr>
                <w:rStyle w:val="29"/>
                <w:rFonts w:eastAsiaTheme="minorHAnsi"/>
              </w:rPr>
              <w:t>Зміст заходів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2C49" w:rsidRDefault="00F72C49" w:rsidP="00F72C49">
            <w:pPr>
              <w:pStyle w:val="21"/>
              <w:shd w:val="clear" w:color="auto" w:fill="auto"/>
              <w:spacing w:after="60" w:line="190" w:lineRule="exact"/>
              <w:ind w:left="-20" w:firstLine="0"/>
              <w:jc w:val="center"/>
              <w:rPr>
                <w:lang w:val="uk-UA" w:eastAsia="ru-RU"/>
              </w:rPr>
            </w:pPr>
            <w:r>
              <w:rPr>
                <w:rStyle w:val="29"/>
                <w:rFonts w:eastAsiaTheme="minorHAnsi"/>
              </w:rPr>
              <w:t>Термін виконання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2C49" w:rsidRDefault="00F72C49" w:rsidP="00F72C49">
            <w:pPr>
              <w:pStyle w:val="21"/>
              <w:shd w:val="clear" w:color="auto" w:fill="auto"/>
              <w:spacing w:line="190" w:lineRule="exact"/>
              <w:ind w:firstLine="0"/>
              <w:rPr>
                <w:lang w:val="uk-UA" w:eastAsia="ru-RU"/>
              </w:rPr>
            </w:pPr>
            <w:r>
              <w:rPr>
                <w:rStyle w:val="29"/>
                <w:rFonts w:eastAsiaTheme="minorHAnsi"/>
              </w:rPr>
              <w:t>Виконавці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2C49" w:rsidRDefault="00F72C49" w:rsidP="00F72C49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lang w:val="uk-UA" w:eastAsia="ru-RU"/>
              </w:rPr>
            </w:pPr>
            <w:r>
              <w:rPr>
                <w:rStyle w:val="29"/>
                <w:rFonts w:eastAsiaTheme="minorHAnsi"/>
              </w:rPr>
              <w:t>Річний обсяг фінансування,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2C49" w:rsidRDefault="00F72C49" w:rsidP="00F72C49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lang w:val="uk-UA" w:eastAsia="ru-RU"/>
              </w:rPr>
            </w:pPr>
            <w:r>
              <w:rPr>
                <w:rStyle w:val="29"/>
                <w:rFonts w:eastAsiaTheme="minorHAnsi"/>
              </w:rPr>
              <w:t>Фактично профінансовано у звітному періоді, тис. 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2C49" w:rsidRDefault="00F72C49" w:rsidP="00F72C49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lang w:val="uk-UA" w:eastAsia="ru-RU"/>
              </w:rPr>
            </w:pPr>
            <w:r>
              <w:rPr>
                <w:rStyle w:val="29"/>
                <w:rFonts w:eastAsiaTheme="minorHAnsi"/>
              </w:rPr>
              <w:t>Відсоток виконання заходу, %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72C49" w:rsidRDefault="00F72C49" w:rsidP="00F72C49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lang w:val="uk-UA" w:eastAsia="ru-RU"/>
              </w:rPr>
            </w:pPr>
            <w:r>
              <w:rPr>
                <w:rStyle w:val="29"/>
                <w:rFonts w:eastAsiaTheme="minorHAnsi"/>
              </w:rPr>
              <w:t>Інформація про виконання або причини невиконання заходу</w:t>
            </w:r>
          </w:p>
        </w:tc>
      </w:tr>
      <w:tr w:rsidR="00F72C49" w:rsidRPr="00DE12C8" w:rsidTr="005B5289">
        <w:trPr>
          <w:trHeight w:hRule="exact" w:val="250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72C49" w:rsidRPr="00405DE7" w:rsidRDefault="009352E7" w:rsidP="00706273">
            <w:pPr>
              <w:jc w:val="center"/>
              <w:rPr>
                <w:sz w:val="19"/>
                <w:szCs w:val="19"/>
                <w:lang w:val="uk-UA"/>
              </w:rPr>
            </w:pPr>
            <w:r w:rsidRPr="00405DE7">
              <w:rPr>
                <w:sz w:val="19"/>
                <w:szCs w:val="19"/>
                <w:lang w:val="uk-UA"/>
              </w:rPr>
              <w:t>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150F" w:rsidRPr="00405DE7" w:rsidRDefault="00684E32" w:rsidP="00F72C49">
            <w:pPr>
              <w:rPr>
                <w:sz w:val="19"/>
                <w:szCs w:val="19"/>
                <w:lang w:val="uk-UA"/>
              </w:rPr>
            </w:pPr>
            <w:r w:rsidRPr="00405DE7">
              <w:rPr>
                <w:bCs/>
                <w:sz w:val="19"/>
                <w:szCs w:val="19"/>
                <w:lang w:val="uk-UA" w:eastAsia="zh-CN"/>
              </w:rPr>
              <w:t>Забезпечення ефективного функціювання відділу культури і туризму Новгород-Сіверської міської ради Чернігівської області та його структурних підрозділів. Здійснення завдань з інформатизації.</w:t>
            </w:r>
          </w:p>
          <w:p w:rsidR="005A150F" w:rsidRPr="00405DE7" w:rsidRDefault="005A150F" w:rsidP="00F72C49">
            <w:pPr>
              <w:rPr>
                <w:sz w:val="19"/>
                <w:szCs w:val="19"/>
                <w:lang w:val="uk-UA"/>
              </w:rPr>
            </w:pPr>
          </w:p>
          <w:p w:rsidR="005A150F" w:rsidRPr="00405DE7" w:rsidRDefault="005A150F" w:rsidP="00F72C49">
            <w:pPr>
              <w:rPr>
                <w:sz w:val="19"/>
                <w:szCs w:val="19"/>
                <w:lang w:val="uk-UA"/>
              </w:rPr>
            </w:pPr>
          </w:p>
          <w:p w:rsidR="005A150F" w:rsidRPr="00405DE7" w:rsidRDefault="005A150F" w:rsidP="00F72C49">
            <w:pPr>
              <w:rPr>
                <w:sz w:val="19"/>
                <w:szCs w:val="19"/>
                <w:lang w:val="uk-UA"/>
              </w:rPr>
            </w:pPr>
          </w:p>
          <w:p w:rsidR="005A150F" w:rsidRPr="00405DE7" w:rsidRDefault="005A150F" w:rsidP="00F72C49">
            <w:pPr>
              <w:rPr>
                <w:sz w:val="19"/>
                <w:szCs w:val="19"/>
                <w:lang w:val="uk-UA"/>
              </w:rPr>
            </w:pPr>
          </w:p>
          <w:p w:rsidR="005A150F" w:rsidRPr="00405DE7" w:rsidRDefault="005A150F" w:rsidP="00F72C49">
            <w:pPr>
              <w:rPr>
                <w:sz w:val="19"/>
                <w:szCs w:val="19"/>
                <w:lang w:val="uk-UA"/>
              </w:rPr>
            </w:pPr>
          </w:p>
          <w:p w:rsidR="005A150F" w:rsidRPr="00405DE7" w:rsidRDefault="005A150F" w:rsidP="00F72C49">
            <w:pPr>
              <w:rPr>
                <w:sz w:val="19"/>
                <w:szCs w:val="19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59C1" w:rsidRPr="00405DE7" w:rsidRDefault="007959C1" w:rsidP="007959C1">
            <w:pPr>
              <w:rPr>
                <w:sz w:val="19"/>
                <w:szCs w:val="19"/>
                <w:lang w:val="uk-UA"/>
              </w:rPr>
            </w:pPr>
            <w:r w:rsidRPr="00405DE7">
              <w:rPr>
                <w:sz w:val="19"/>
                <w:szCs w:val="19"/>
                <w:lang w:val="uk-UA" w:eastAsia="zh-CN"/>
              </w:rPr>
              <w:t>Придбання для відділу культури і туризму, структурних підрозділів засобів інформатизації та їх технічна підтримка</w:t>
            </w:r>
            <w:r w:rsidR="005B5289" w:rsidRPr="00405DE7">
              <w:rPr>
                <w:sz w:val="19"/>
                <w:szCs w:val="19"/>
                <w:lang w:val="uk-UA" w:eastAsia="zh-CN"/>
              </w:rPr>
              <w:t>,</w:t>
            </w:r>
            <w:r w:rsidR="00684E32" w:rsidRPr="00405DE7">
              <w:rPr>
                <w:sz w:val="19"/>
                <w:szCs w:val="19"/>
                <w:lang w:val="uk-UA"/>
              </w:rPr>
              <w:t xml:space="preserve"> </w:t>
            </w:r>
            <w:r w:rsidR="005B5289" w:rsidRPr="00405DE7">
              <w:rPr>
                <w:sz w:val="19"/>
                <w:szCs w:val="19"/>
                <w:lang w:val="uk-UA" w:eastAsia="zh-CN"/>
              </w:rPr>
              <w:t>п</w:t>
            </w:r>
            <w:r w:rsidR="00684E32" w:rsidRPr="00405DE7">
              <w:rPr>
                <w:sz w:val="19"/>
                <w:szCs w:val="19"/>
                <w:lang w:val="uk-UA" w:eastAsia="zh-CN"/>
              </w:rPr>
              <w:t>ослуги по супроводженню програми АІС «Місцеві бюд</w:t>
            </w:r>
            <w:r w:rsidR="005B5289" w:rsidRPr="00405DE7">
              <w:rPr>
                <w:sz w:val="19"/>
                <w:szCs w:val="19"/>
                <w:lang w:val="uk-UA" w:eastAsia="zh-CN"/>
              </w:rPr>
              <w:t>жети рівня міста, району «2006»,</w:t>
            </w:r>
            <w:r w:rsidR="005B5289" w:rsidRPr="00405DE7">
              <w:rPr>
                <w:sz w:val="19"/>
                <w:szCs w:val="19"/>
                <w:lang w:val="uk-UA"/>
              </w:rPr>
              <w:t xml:space="preserve"> </w:t>
            </w:r>
            <w:r w:rsidR="005B5289" w:rsidRPr="00405DE7">
              <w:rPr>
                <w:sz w:val="19"/>
                <w:szCs w:val="19"/>
                <w:lang w:val="uk-UA" w:eastAsia="zh-CN"/>
              </w:rPr>
              <w:t xml:space="preserve">придбання примірника та пакетів оновлень (компонентів) комп’ютерної програми «М.Е.Doc» (Модуль  «Звітність»)  </w:t>
            </w:r>
          </w:p>
          <w:p w:rsidR="009352E7" w:rsidRPr="00405DE7" w:rsidRDefault="009352E7" w:rsidP="00D6726C">
            <w:pPr>
              <w:jc w:val="both"/>
              <w:rPr>
                <w:sz w:val="19"/>
                <w:szCs w:val="19"/>
                <w:lang w:val="uk-UA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0CDC" w:rsidRDefault="00590CDC" w:rsidP="009352E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  </w:t>
            </w:r>
          </w:p>
          <w:p w:rsidR="00590CDC" w:rsidRDefault="00590CDC" w:rsidP="009352E7">
            <w:pPr>
              <w:jc w:val="center"/>
              <w:rPr>
                <w:sz w:val="19"/>
                <w:szCs w:val="19"/>
                <w:lang w:val="uk-UA"/>
              </w:rPr>
            </w:pPr>
          </w:p>
          <w:p w:rsidR="00590CDC" w:rsidRDefault="00590CDC" w:rsidP="009352E7">
            <w:pPr>
              <w:jc w:val="center"/>
              <w:rPr>
                <w:sz w:val="19"/>
                <w:szCs w:val="19"/>
                <w:lang w:val="uk-UA"/>
              </w:rPr>
            </w:pPr>
          </w:p>
          <w:p w:rsidR="00590CDC" w:rsidRDefault="00590CDC" w:rsidP="009352E7">
            <w:pPr>
              <w:jc w:val="center"/>
              <w:rPr>
                <w:sz w:val="19"/>
                <w:szCs w:val="19"/>
                <w:lang w:val="uk-UA"/>
              </w:rPr>
            </w:pPr>
          </w:p>
          <w:p w:rsidR="00590CDC" w:rsidRDefault="00590CDC" w:rsidP="009352E7">
            <w:pPr>
              <w:jc w:val="center"/>
              <w:rPr>
                <w:sz w:val="19"/>
                <w:szCs w:val="19"/>
                <w:lang w:val="uk-UA"/>
              </w:rPr>
            </w:pPr>
          </w:p>
          <w:p w:rsidR="00F72C49" w:rsidRPr="00405DE7" w:rsidRDefault="009352E7" w:rsidP="009352E7">
            <w:pPr>
              <w:jc w:val="center"/>
              <w:rPr>
                <w:sz w:val="19"/>
                <w:szCs w:val="19"/>
                <w:lang w:val="uk-UA"/>
              </w:rPr>
            </w:pPr>
            <w:r w:rsidRPr="00405DE7">
              <w:rPr>
                <w:sz w:val="19"/>
                <w:szCs w:val="19"/>
                <w:lang w:val="uk-UA"/>
              </w:rPr>
              <w:t>2025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352E7" w:rsidRPr="00405DE7" w:rsidRDefault="009352E7" w:rsidP="009352E7">
            <w:pPr>
              <w:rPr>
                <w:sz w:val="19"/>
                <w:szCs w:val="19"/>
                <w:lang w:val="uk-UA"/>
              </w:rPr>
            </w:pPr>
            <w:r w:rsidRPr="00405DE7">
              <w:rPr>
                <w:sz w:val="19"/>
                <w:szCs w:val="19"/>
                <w:lang w:val="uk-UA"/>
              </w:rPr>
              <w:t>Відділ культури і туризму</w:t>
            </w:r>
          </w:p>
          <w:p w:rsidR="00F72C49" w:rsidRPr="00405DE7" w:rsidRDefault="009352E7" w:rsidP="009352E7">
            <w:pPr>
              <w:rPr>
                <w:sz w:val="19"/>
                <w:szCs w:val="19"/>
                <w:lang w:val="uk-UA"/>
              </w:rPr>
            </w:pPr>
            <w:r w:rsidRPr="00405DE7">
              <w:rPr>
                <w:sz w:val="19"/>
                <w:szCs w:val="19"/>
                <w:lang w:val="uk-UA"/>
              </w:rPr>
              <w:t>Новгород- Сіверської міської  ради Чернігівської області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352E7" w:rsidRPr="00405DE7" w:rsidRDefault="009352E7" w:rsidP="005B5289">
            <w:pPr>
              <w:jc w:val="center"/>
              <w:rPr>
                <w:sz w:val="19"/>
                <w:szCs w:val="19"/>
                <w:lang w:val="uk-UA"/>
              </w:rPr>
            </w:pPr>
          </w:p>
          <w:p w:rsidR="009352E7" w:rsidRPr="00405DE7" w:rsidRDefault="005B5289" w:rsidP="005B5289">
            <w:pPr>
              <w:jc w:val="center"/>
              <w:rPr>
                <w:sz w:val="19"/>
                <w:szCs w:val="19"/>
                <w:lang w:val="uk-UA"/>
              </w:rPr>
            </w:pPr>
            <w:r w:rsidRPr="00405DE7">
              <w:rPr>
                <w:sz w:val="19"/>
                <w:szCs w:val="19"/>
                <w:lang w:val="uk-UA"/>
              </w:rPr>
              <w:t>182,0</w:t>
            </w:r>
          </w:p>
          <w:p w:rsidR="009352E7" w:rsidRPr="00405DE7" w:rsidRDefault="009352E7" w:rsidP="005B5289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06273" w:rsidRPr="00405DE7" w:rsidRDefault="00706273" w:rsidP="005B5289">
            <w:pPr>
              <w:jc w:val="center"/>
              <w:rPr>
                <w:sz w:val="19"/>
                <w:szCs w:val="19"/>
                <w:lang w:val="uk-UA"/>
              </w:rPr>
            </w:pPr>
          </w:p>
          <w:p w:rsidR="00706273" w:rsidRPr="00405DE7" w:rsidRDefault="005B5289" w:rsidP="005B5289">
            <w:pPr>
              <w:jc w:val="center"/>
              <w:rPr>
                <w:sz w:val="19"/>
                <w:szCs w:val="19"/>
                <w:lang w:val="uk-UA"/>
              </w:rPr>
            </w:pPr>
            <w:r w:rsidRPr="00405DE7">
              <w:rPr>
                <w:sz w:val="19"/>
                <w:szCs w:val="19"/>
                <w:lang w:val="uk-UA"/>
              </w:rPr>
              <w:t>140,3</w:t>
            </w:r>
          </w:p>
          <w:p w:rsidR="00706273" w:rsidRPr="00405DE7" w:rsidRDefault="00706273" w:rsidP="005B5289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06273" w:rsidRPr="00405DE7" w:rsidRDefault="00706273" w:rsidP="005B5289">
            <w:pPr>
              <w:jc w:val="center"/>
              <w:rPr>
                <w:sz w:val="19"/>
                <w:szCs w:val="19"/>
                <w:lang w:val="uk-UA"/>
              </w:rPr>
            </w:pPr>
          </w:p>
          <w:p w:rsidR="00706273" w:rsidRPr="00405DE7" w:rsidRDefault="005B5289" w:rsidP="005B5289">
            <w:pPr>
              <w:jc w:val="center"/>
              <w:rPr>
                <w:sz w:val="19"/>
                <w:szCs w:val="19"/>
                <w:lang w:val="uk-UA"/>
              </w:rPr>
            </w:pPr>
            <w:r w:rsidRPr="00405DE7">
              <w:rPr>
                <w:sz w:val="19"/>
                <w:szCs w:val="19"/>
                <w:lang w:val="uk-UA"/>
              </w:rPr>
              <w:t>76,9</w:t>
            </w:r>
          </w:p>
          <w:p w:rsidR="00F72C49" w:rsidRPr="00405DE7" w:rsidRDefault="00F72C49" w:rsidP="005B5289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C49" w:rsidRPr="00405DE7" w:rsidRDefault="005B5289" w:rsidP="00F72C49">
            <w:pPr>
              <w:rPr>
                <w:sz w:val="19"/>
                <w:szCs w:val="19"/>
                <w:lang w:val="uk-UA"/>
              </w:rPr>
            </w:pPr>
            <w:r w:rsidRPr="00405DE7">
              <w:rPr>
                <w:sz w:val="19"/>
                <w:szCs w:val="19"/>
                <w:lang w:val="uk-UA"/>
              </w:rPr>
              <w:t>Фінансування заходів здійснювалося виходячи з фінансових можливостей бюджету Новгород-Сіверської міської територіальної громади в умовах воєнного стану, розташування громади на кордоні з РФ, виходячи з потреби</w:t>
            </w:r>
          </w:p>
        </w:tc>
      </w:tr>
    </w:tbl>
    <w:p w:rsidR="00CF2D2F" w:rsidRDefault="00CF2D2F" w:rsidP="009D34B6">
      <w:pPr>
        <w:framePr w:w="9691" w:wrap="notBeside" w:vAnchor="text" w:hAnchor="page" w:x="3526" w:y="54"/>
        <w:rPr>
          <w:sz w:val="2"/>
          <w:szCs w:val="2"/>
          <w:lang w:val="uk-UA"/>
        </w:rPr>
      </w:pPr>
    </w:p>
    <w:p w:rsidR="00165E57" w:rsidRDefault="00165E57" w:rsidP="00CF2D2F">
      <w:pPr>
        <w:spacing w:line="360" w:lineRule="exact"/>
        <w:jc w:val="both"/>
        <w:rPr>
          <w:sz w:val="28"/>
          <w:szCs w:val="28"/>
          <w:lang w:val="uk-UA"/>
        </w:rPr>
      </w:pPr>
    </w:p>
    <w:p w:rsidR="00CF2D2F" w:rsidRDefault="00CF2D2F" w:rsidP="00CF2D2F">
      <w:pPr>
        <w:spacing w:line="360" w:lineRule="exac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2.Виконання результативних показників Програми (заповнюється при підготовці річного звіту про виконання програми)</w:t>
      </w:r>
    </w:p>
    <w:p w:rsidR="00CF2D2F" w:rsidRDefault="00CF2D2F" w:rsidP="009352E7">
      <w:pPr>
        <w:spacing w:line="360" w:lineRule="exact"/>
        <w:jc w:val="right"/>
        <w:rPr>
          <w:lang w:val="uk-UA"/>
        </w:rPr>
      </w:pPr>
    </w:p>
    <w:p w:rsidR="00E779CA" w:rsidRDefault="00E779CA" w:rsidP="00E779CA">
      <w:pPr>
        <w:framePr w:w="6796" w:wrap="notBeside" w:vAnchor="text" w:hAnchor="page" w:x="961" w:y="-377"/>
        <w:rPr>
          <w:sz w:val="2"/>
          <w:szCs w:val="2"/>
          <w:lang w:val="uk-UA"/>
        </w:rPr>
      </w:pPr>
    </w:p>
    <w:tbl>
      <w:tblPr>
        <w:tblW w:w="15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1"/>
        <w:gridCol w:w="3792"/>
        <w:gridCol w:w="2559"/>
        <w:gridCol w:w="2578"/>
        <w:gridCol w:w="2601"/>
        <w:gridCol w:w="3484"/>
      </w:tblGrid>
      <w:tr w:rsidR="009352E7" w:rsidTr="002C4C7B">
        <w:trPr>
          <w:trHeight w:hRule="exact" w:val="1396"/>
        </w:trPr>
        <w:tc>
          <w:tcPr>
            <w:tcW w:w="601" w:type="dxa"/>
            <w:shd w:val="clear" w:color="auto" w:fill="FFFFFF"/>
            <w:vAlign w:val="center"/>
            <w:hideMark/>
          </w:tcPr>
          <w:p w:rsidR="009352E7" w:rsidRPr="002C4C7B" w:rsidRDefault="009352E7" w:rsidP="009352E7">
            <w:pPr>
              <w:pStyle w:val="21"/>
              <w:shd w:val="clear" w:color="auto" w:fill="auto"/>
              <w:spacing w:after="60" w:line="280" w:lineRule="exact"/>
              <w:ind w:left="160" w:firstLine="0"/>
              <w:rPr>
                <w:rFonts w:ascii="Times New Roman" w:hAnsi="Times New Roman" w:cs="Times New Roman"/>
                <w:lang w:val="uk-UA" w:eastAsia="ru-RU"/>
              </w:rPr>
            </w:pPr>
            <w:r w:rsidRPr="002C4C7B">
              <w:rPr>
                <w:rFonts w:ascii="Times New Roman" w:hAnsi="Times New Roman" w:cs="Times New Roman"/>
                <w:lang w:val="uk-UA" w:eastAsia="ru-RU"/>
              </w:rPr>
              <w:t>№</w:t>
            </w:r>
          </w:p>
          <w:p w:rsidR="009352E7" w:rsidRDefault="009352E7" w:rsidP="009352E7">
            <w:pPr>
              <w:pStyle w:val="21"/>
              <w:shd w:val="clear" w:color="auto" w:fill="auto"/>
              <w:spacing w:after="60" w:line="280" w:lineRule="exact"/>
              <w:ind w:left="160" w:firstLine="0"/>
              <w:rPr>
                <w:lang w:val="uk-UA" w:eastAsia="ru-RU"/>
              </w:rPr>
            </w:pPr>
            <w:r w:rsidRPr="002C4C7B">
              <w:rPr>
                <w:rStyle w:val="29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  <w:lang w:eastAsia="ru-RU" w:bidi="ar-SA"/>
              </w:rPr>
              <w:t>з/п</w:t>
            </w:r>
          </w:p>
        </w:tc>
        <w:tc>
          <w:tcPr>
            <w:tcW w:w="3792" w:type="dxa"/>
            <w:shd w:val="clear" w:color="auto" w:fill="FFFFFF"/>
            <w:vAlign w:val="center"/>
            <w:hideMark/>
          </w:tcPr>
          <w:p w:rsidR="009352E7" w:rsidRPr="009352E7" w:rsidRDefault="009352E7" w:rsidP="009352E7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</w:pPr>
            <w:r>
              <w:rPr>
                <w:rStyle w:val="29"/>
                <w:rFonts w:eastAsiaTheme="minorHAnsi"/>
              </w:rPr>
              <w:t>Найменування показника</w:t>
            </w:r>
          </w:p>
        </w:tc>
        <w:tc>
          <w:tcPr>
            <w:tcW w:w="2559" w:type="dxa"/>
            <w:shd w:val="clear" w:color="auto" w:fill="FFFFFF"/>
            <w:vAlign w:val="center"/>
            <w:hideMark/>
          </w:tcPr>
          <w:p w:rsidR="009352E7" w:rsidRPr="009352E7" w:rsidRDefault="009352E7" w:rsidP="009352E7">
            <w:pPr>
              <w:pStyle w:val="21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</w:pPr>
            <w:r>
              <w:rPr>
                <w:rStyle w:val="29"/>
                <w:rFonts w:eastAsiaTheme="minorHAnsi"/>
              </w:rPr>
              <w:t>Планове значення показника</w:t>
            </w:r>
          </w:p>
        </w:tc>
        <w:tc>
          <w:tcPr>
            <w:tcW w:w="2578" w:type="dxa"/>
            <w:shd w:val="clear" w:color="auto" w:fill="FFFFFF"/>
            <w:vAlign w:val="center"/>
            <w:hideMark/>
          </w:tcPr>
          <w:p w:rsidR="009352E7" w:rsidRPr="009352E7" w:rsidRDefault="009352E7" w:rsidP="009352E7">
            <w:pPr>
              <w:pStyle w:val="21"/>
              <w:shd w:val="clear" w:color="auto" w:fill="auto"/>
              <w:spacing w:line="250" w:lineRule="exact"/>
              <w:ind w:left="280" w:firstLine="0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</w:pPr>
            <w:r>
              <w:rPr>
                <w:rStyle w:val="29"/>
                <w:rFonts w:eastAsiaTheme="minorHAnsi"/>
              </w:rPr>
              <w:t>Фактичне значення показника</w:t>
            </w:r>
          </w:p>
        </w:tc>
        <w:tc>
          <w:tcPr>
            <w:tcW w:w="2601" w:type="dxa"/>
            <w:shd w:val="clear" w:color="auto" w:fill="FFFFFF"/>
            <w:vAlign w:val="center"/>
            <w:hideMark/>
          </w:tcPr>
          <w:p w:rsidR="009352E7" w:rsidRPr="009352E7" w:rsidRDefault="009352E7" w:rsidP="009352E7">
            <w:pPr>
              <w:pStyle w:val="21"/>
              <w:shd w:val="clear" w:color="auto" w:fill="auto"/>
              <w:spacing w:after="120" w:line="19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</w:pPr>
            <w:r>
              <w:rPr>
                <w:rStyle w:val="29"/>
                <w:rFonts w:eastAsiaTheme="minorHAnsi"/>
              </w:rPr>
              <w:t>Причини невиконання</w:t>
            </w:r>
          </w:p>
        </w:tc>
        <w:tc>
          <w:tcPr>
            <w:tcW w:w="3484" w:type="dxa"/>
            <w:shd w:val="clear" w:color="auto" w:fill="FFFFFF"/>
            <w:vAlign w:val="center"/>
            <w:hideMark/>
          </w:tcPr>
          <w:p w:rsidR="009352E7" w:rsidRPr="009352E7" w:rsidRDefault="009352E7" w:rsidP="005B5289">
            <w:pPr>
              <w:pStyle w:val="21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</w:pPr>
            <w:r>
              <w:rPr>
                <w:rStyle w:val="29"/>
                <w:rFonts w:eastAsiaTheme="minorHAnsi"/>
              </w:rPr>
              <w:t>Що зроблено для виправлення ситуації</w:t>
            </w:r>
          </w:p>
        </w:tc>
      </w:tr>
      <w:tr w:rsidR="009352E7" w:rsidRPr="00405DE7" w:rsidTr="002C4C7B">
        <w:trPr>
          <w:trHeight w:hRule="exact" w:val="3838"/>
        </w:trPr>
        <w:tc>
          <w:tcPr>
            <w:tcW w:w="601" w:type="dxa"/>
            <w:shd w:val="clear" w:color="auto" w:fill="FFFFFF"/>
            <w:vAlign w:val="center"/>
            <w:hideMark/>
          </w:tcPr>
          <w:p w:rsidR="009352E7" w:rsidRPr="00405DE7" w:rsidRDefault="00590CDC" w:rsidP="009352E7">
            <w:pPr>
              <w:pStyle w:val="21"/>
              <w:spacing w:after="60" w:line="280" w:lineRule="exact"/>
              <w:ind w:left="160"/>
              <w:rPr>
                <w:sz w:val="19"/>
                <w:szCs w:val="19"/>
                <w:lang w:val="uk-UA" w:eastAsia="ru-RU"/>
              </w:rPr>
            </w:pPr>
            <w:r>
              <w:rPr>
                <w:sz w:val="19"/>
                <w:szCs w:val="19"/>
                <w:lang w:val="uk-UA" w:eastAsia="ru-RU"/>
              </w:rPr>
              <w:t xml:space="preserve">          1.</w:t>
            </w:r>
          </w:p>
        </w:tc>
        <w:tc>
          <w:tcPr>
            <w:tcW w:w="3792" w:type="dxa"/>
            <w:shd w:val="clear" w:color="auto" w:fill="FFFFFF"/>
            <w:vAlign w:val="center"/>
            <w:hideMark/>
          </w:tcPr>
          <w:p w:rsidR="009352E7" w:rsidRPr="00405DE7" w:rsidRDefault="00ED335C" w:rsidP="00684E32">
            <w:pPr>
              <w:rPr>
                <w:sz w:val="19"/>
                <w:szCs w:val="19"/>
                <w:shd w:val="clear" w:color="auto" w:fill="FFFFFF"/>
                <w:lang w:val="uk-UA" w:eastAsia="uk-UA" w:bidi="uk-UA"/>
              </w:rPr>
            </w:pPr>
            <w:r w:rsidRPr="00405DE7">
              <w:rPr>
                <w:sz w:val="19"/>
                <w:szCs w:val="19"/>
                <w:shd w:val="clear" w:color="auto" w:fill="FFFFFF"/>
                <w:lang w:val="uk-UA" w:eastAsia="uk-UA" w:bidi="uk-UA"/>
              </w:rPr>
              <w:t>Послуги з програмного забезпечення, розробка ПКД, послуги Інтернет, придбання товарів та послуг</w:t>
            </w:r>
            <w:r w:rsidR="005B5289" w:rsidRPr="00405DE7">
              <w:rPr>
                <w:sz w:val="19"/>
                <w:szCs w:val="19"/>
                <w:lang w:val="uk-UA"/>
              </w:rPr>
              <w:t xml:space="preserve"> </w:t>
            </w:r>
            <w:r w:rsidR="005B5289" w:rsidRPr="00405DE7">
              <w:rPr>
                <w:sz w:val="19"/>
                <w:szCs w:val="19"/>
                <w:shd w:val="clear" w:color="auto" w:fill="FFFFFF"/>
                <w:lang w:val="uk-UA" w:eastAsia="uk-UA" w:bidi="uk-UA"/>
              </w:rPr>
              <w:t>придбання примірника та пакетів оновлень (компонентів) комп’ютерної програми «М.Е.Doc» (Модуль  «Звітність»)  Модернізація технічних пристроїв та обладнання,  прокладання мереж, надання послуг з доступу до високошвидкісного інтернету.</w:t>
            </w:r>
          </w:p>
        </w:tc>
        <w:tc>
          <w:tcPr>
            <w:tcW w:w="2559" w:type="dxa"/>
            <w:shd w:val="clear" w:color="auto" w:fill="FFFFFF"/>
            <w:vAlign w:val="center"/>
            <w:hideMark/>
          </w:tcPr>
          <w:p w:rsidR="009352E7" w:rsidRPr="00405DE7" w:rsidRDefault="007B2567" w:rsidP="009352E7">
            <w:pPr>
              <w:pStyle w:val="21"/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</w:pPr>
            <w:r w:rsidRPr="00405DE7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420,0</w:t>
            </w:r>
          </w:p>
        </w:tc>
        <w:tc>
          <w:tcPr>
            <w:tcW w:w="2578" w:type="dxa"/>
            <w:shd w:val="clear" w:color="auto" w:fill="FFFFFF"/>
            <w:vAlign w:val="center"/>
            <w:hideMark/>
          </w:tcPr>
          <w:p w:rsidR="009352E7" w:rsidRPr="00405DE7" w:rsidRDefault="00ED335C" w:rsidP="00ED335C">
            <w:pPr>
              <w:pStyle w:val="21"/>
              <w:spacing w:line="250" w:lineRule="exact"/>
              <w:ind w:left="2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</w:pPr>
            <w:r w:rsidRPr="00405DE7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140,3</w:t>
            </w:r>
          </w:p>
        </w:tc>
        <w:tc>
          <w:tcPr>
            <w:tcW w:w="2601" w:type="dxa"/>
            <w:shd w:val="clear" w:color="auto" w:fill="FFFFFF"/>
            <w:vAlign w:val="center"/>
            <w:hideMark/>
          </w:tcPr>
          <w:p w:rsidR="009352E7" w:rsidRPr="00405DE7" w:rsidRDefault="00405DE7" w:rsidP="00405DE7">
            <w:pPr>
              <w:rPr>
                <w:sz w:val="19"/>
                <w:szCs w:val="19"/>
                <w:shd w:val="clear" w:color="auto" w:fill="FFFFFF"/>
                <w:lang w:val="uk-UA" w:eastAsia="uk-UA" w:bidi="uk-UA"/>
              </w:rPr>
            </w:pPr>
            <w:r w:rsidRPr="00405DE7">
              <w:rPr>
                <w:sz w:val="19"/>
                <w:szCs w:val="19"/>
                <w:shd w:val="clear" w:color="auto" w:fill="FFFFFF"/>
                <w:lang w:val="uk-UA" w:eastAsia="uk-UA" w:bidi="uk-UA"/>
              </w:rPr>
              <w:t>Фінансування заходів здійснювалося виходячи з фінансових можливостей бюджету Новгород-Сіверської міської територіальної громади в умовах воєнного стану, розташування громади на кордоні з РФ, виходячи з потреби.</w:t>
            </w:r>
            <w:r w:rsidRPr="00A759E3">
              <w:rPr>
                <w:sz w:val="19"/>
                <w:szCs w:val="19"/>
                <w:lang w:val="uk-UA"/>
              </w:rPr>
              <w:t xml:space="preserve"> </w:t>
            </w:r>
            <w:r w:rsidRPr="00405DE7">
              <w:rPr>
                <w:sz w:val="19"/>
                <w:szCs w:val="19"/>
                <w:shd w:val="clear" w:color="auto" w:fill="FFFFFF"/>
                <w:lang w:val="uk-UA" w:eastAsia="uk-UA" w:bidi="uk-UA"/>
              </w:rPr>
              <w:t xml:space="preserve">Оснащення відділу культури і туризму та структурних підрозділів сучасною комп’ютерною та офісною технікою в умовах воєнного стану не проводилось взагалі, кошти використовувались </w:t>
            </w:r>
            <w:proofErr w:type="spellStart"/>
            <w:r w:rsidRPr="00405DE7">
              <w:rPr>
                <w:sz w:val="19"/>
                <w:szCs w:val="19"/>
                <w:shd w:val="clear" w:color="auto" w:fill="FFFFFF"/>
                <w:lang w:val="uk-UA" w:eastAsia="uk-UA" w:bidi="uk-UA"/>
              </w:rPr>
              <w:t>економно</w:t>
            </w:r>
            <w:proofErr w:type="spellEnd"/>
            <w:r w:rsidRPr="00405DE7">
              <w:rPr>
                <w:sz w:val="19"/>
                <w:szCs w:val="19"/>
                <w:shd w:val="clear" w:color="auto" w:fill="FFFFFF"/>
                <w:lang w:val="uk-UA" w:eastAsia="uk-UA" w:bidi="uk-UA"/>
              </w:rPr>
              <w:t xml:space="preserve"> та раціонально.</w:t>
            </w:r>
          </w:p>
        </w:tc>
        <w:tc>
          <w:tcPr>
            <w:tcW w:w="3484" w:type="dxa"/>
            <w:shd w:val="clear" w:color="auto" w:fill="FFFFFF"/>
            <w:hideMark/>
          </w:tcPr>
          <w:p w:rsidR="009352E7" w:rsidRPr="00405DE7" w:rsidRDefault="00E64082" w:rsidP="00E64082">
            <w:pPr>
              <w:pStyle w:val="21"/>
              <w:spacing w:line="250" w:lineRule="exact"/>
              <w:ind w:hanging="47"/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Після закінчення воєнного стану всі заходи будуть виконані, відповідно до запланованих показників.</w:t>
            </w:r>
          </w:p>
        </w:tc>
      </w:tr>
    </w:tbl>
    <w:p w:rsidR="00CF2D2F" w:rsidRDefault="00CF2D2F" w:rsidP="00CF2D2F">
      <w:pPr>
        <w:rPr>
          <w:sz w:val="2"/>
          <w:szCs w:val="2"/>
          <w:lang w:val="uk-UA"/>
        </w:rPr>
      </w:pPr>
    </w:p>
    <w:p w:rsidR="005B5289" w:rsidRDefault="00CF2D2F" w:rsidP="00CF2D2F">
      <w:pPr>
        <w:pStyle w:val="21"/>
        <w:shd w:val="clear" w:color="auto" w:fill="auto"/>
        <w:tabs>
          <w:tab w:val="left" w:pos="284"/>
        </w:tabs>
        <w:spacing w:before="300" w:line="322" w:lineRule="exact"/>
        <w:ind w:firstLine="0"/>
        <w:jc w:val="both"/>
        <w:rPr>
          <w:rFonts w:ascii="Times New Roman" w:hAnsi="Times New Roman" w:cs="Times New Roman"/>
          <w:lang w:val="uk-UA"/>
        </w:rPr>
      </w:pPr>
      <w:r w:rsidRPr="007D07C5">
        <w:rPr>
          <w:rFonts w:ascii="Times New Roman" w:hAnsi="Times New Roman" w:cs="Times New Roman"/>
          <w:lang w:val="uk-UA"/>
        </w:rPr>
        <w:t xml:space="preserve">      </w:t>
      </w:r>
    </w:p>
    <w:p w:rsidR="005B5289" w:rsidRDefault="005B5289" w:rsidP="00CF2D2F">
      <w:pPr>
        <w:pStyle w:val="21"/>
        <w:shd w:val="clear" w:color="auto" w:fill="auto"/>
        <w:tabs>
          <w:tab w:val="left" w:pos="284"/>
        </w:tabs>
        <w:spacing w:before="300" w:line="322" w:lineRule="exact"/>
        <w:ind w:firstLine="0"/>
        <w:jc w:val="both"/>
        <w:rPr>
          <w:rFonts w:ascii="Times New Roman" w:hAnsi="Times New Roman" w:cs="Times New Roman"/>
          <w:lang w:val="uk-UA"/>
        </w:rPr>
      </w:pPr>
    </w:p>
    <w:p w:rsidR="00405DE7" w:rsidRDefault="00405DE7" w:rsidP="00CF2D2F">
      <w:pPr>
        <w:pStyle w:val="21"/>
        <w:shd w:val="clear" w:color="auto" w:fill="auto"/>
        <w:tabs>
          <w:tab w:val="left" w:pos="284"/>
        </w:tabs>
        <w:spacing w:before="300" w:line="322" w:lineRule="exact"/>
        <w:ind w:firstLine="0"/>
        <w:jc w:val="both"/>
        <w:rPr>
          <w:rFonts w:ascii="Times New Roman" w:hAnsi="Times New Roman" w:cs="Times New Roman"/>
          <w:lang w:val="uk-UA"/>
        </w:rPr>
      </w:pPr>
    </w:p>
    <w:p w:rsidR="005B5289" w:rsidRDefault="005B5289" w:rsidP="00CF2D2F">
      <w:pPr>
        <w:pStyle w:val="21"/>
        <w:shd w:val="clear" w:color="auto" w:fill="auto"/>
        <w:tabs>
          <w:tab w:val="left" w:pos="284"/>
        </w:tabs>
        <w:spacing w:before="300" w:line="322" w:lineRule="exact"/>
        <w:ind w:firstLine="0"/>
        <w:jc w:val="both"/>
        <w:rPr>
          <w:rFonts w:ascii="Times New Roman" w:hAnsi="Times New Roman" w:cs="Times New Roman"/>
          <w:lang w:val="uk-UA"/>
        </w:rPr>
      </w:pPr>
    </w:p>
    <w:p w:rsidR="00405DE7" w:rsidRDefault="00405DE7" w:rsidP="00405DE7">
      <w:pPr>
        <w:pStyle w:val="21"/>
        <w:tabs>
          <w:tab w:val="left" w:pos="284"/>
        </w:tabs>
        <w:spacing w:before="300" w:line="322" w:lineRule="exact"/>
        <w:ind w:firstLine="0"/>
        <w:jc w:val="both"/>
        <w:rPr>
          <w:rFonts w:ascii="Times New Roman" w:hAnsi="Times New Roman" w:cs="Times New Roman"/>
          <w:lang w:val="uk-UA"/>
        </w:rPr>
      </w:pPr>
    </w:p>
    <w:p w:rsidR="00A759E3" w:rsidRDefault="00CF2D2F" w:rsidP="00A759E3">
      <w:pPr>
        <w:pStyle w:val="21"/>
        <w:tabs>
          <w:tab w:val="left" w:pos="284"/>
        </w:tabs>
        <w:spacing w:after="0" w:line="322" w:lineRule="exact"/>
        <w:ind w:firstLine="0"/>
        <w:jc w:val="both"/>
        <w:rPr>
          <w:rFonts w:ascii="Times New Roman" w:hAnsi="Times New Roman" w:cs="Times New Roman"/>
          <w:lang w:val="uk-UA"/>
        </w:rPr>
      </w:pPr>
      <w:r w:rsidRPr="007D07C5">
        <w:rPr>
          <w:rFonts w:ascii="Times New Roman" w:hAnsi="Times New Roman" w:cs="Times New Roman"/>
          <w:lang w:val="uk-UA"/>
        </w:rPr>
        <w:t>3. Оцінка ефективності виконання програми та пропозиції щодо подальшої реалізації програми (здійснюється при підготовці річного звіту).</w:t>
      </w:r>
      <w:r w:rsidRPr="007D07C5">
        <w:rPr>
          <w:rFonts w:ascii="Times New Roman" w:hAnsi="Times New Roman" w:cs="Times New Roman"/>
          <w:lang w:val="uk-UA"/>
        </w:rPr>
        <w:tab/>
      </w:r>
    </w:p>
    <w:p w:rsidR="00405DE7" w:rsidRPr="00405DE7" w:rsidRDefault="00A759E3" w:rsidP="00A759E3">
      <w:pPr>
        <w:pStyle w:val="21"/>
        <w:tabs>
          <w:tab w:val="left" w:pos="567"/>
        </w:tabs>
        <w:spacing w:after="0" w:line="322" w:lineRule="exact"/>
        <w:ind w:firstLine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 w:rsidR="00405DE7" w:rsidRPr="00405DE7">
        <w:rPr>
          <w:rFonts w:ascii="Times New Roman" w:hAnsi="Times New Roman" w:cs="Times New Roman"/>
          <w:lang w:val="uk-UA"/>
        </w:rPr>
        <w:t>У межах реалізації програми забезпечено належне функціонування закладів культури та мистецької освіти у Новгород-Сіверській міській територіальній громаді шляхом впровадження сучасних інформаційних технологій, підтримки технічної інфраструктури, а також виконання заходів із безпеки та технічного обслуговування об’єктів.</w:t>
      </w:r>
      <w:r>
        <w:rPr>
          <w:rFonts w:ascii="Times New Roman" w:hAnsi="Times New Roman" w:cs="Times New Roman"/>
          <w:lang w:val="uk-UA"/>
        </w:rPr>
        <w:t xml:space="preserve"> </w:t>
      </w:r>
      <w:r w:rsidR="00405DE7" w:rsidRPr="00405DE7">
        <w:rPr>
          <w:rFonts w:ascii="Times New Roman" w:hAnsi="Times New Roman" w:cs="Times New Roman"/>
          <w:lang w:val="uk-UA"/>
        </w:rPr>
        <w:t>Зокрема, забезпечено надання права використання примірника та пакетів оновлень комп’ютерної програми M.е.Doc, що дозволило організувати ефективний електронний документообіг, своєчасне подання звітності та взаємодію з державними органами.</w:t>
      </w:r>
    </w:p>
    <w:p w:rsidR="00405DE7" w:rsidRPr="00405DE7" w:rsidRDefault="00A759E3" w:rsidP="00A759E3">
      <w:pPr>
        <w:pStyle w:val="21"/>
        <w:tabs>
          <w:tab w:val="left" w:pos="284"/>
          <w:tab w:val="left" w:pos="567"/>
        </w:tabs>
        <w:spacing w:after="0" w:line="322" w:lineRule="exact"/>
        <w:ind w:firstLine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405DE7" w:rsidRPr="00405DE7">
        <w:rPr>
          <w:rFonts w:ascii="Times New Roman" w:hAnsi="Times New Roman" w:cs="Times New Roman"/>
          <w:lang w:val="uk-UA"/>
        </w:rPr>
        <w:t>Також здійснювалося адміністрування програмного забезпечення та реєстрація користувача у системі програмного продукту «Місцеві бюджети рівня розпорядника бюджетних коштів», що забезпечило належний облік бюджетних операцій, підвищило прозорість фінансової діяльності та ефективність управління бюджетними ресурсами закладів культури.</w:t>
      </w:r>
    </w:p>
    <w:p w:rsidR="00405DE7" w:rsidRPr="00405DE7" w:rsidRDefault="00A759E3" w:rsidP="00A759E3">
      <w:pPr>
        <w:pStyle w:val="21"/>
        <w:tabs>
          <w:tab w:val="left" w:pos="284"/>
          <w:tab w:val="left" w:pos="567"/>
        </w:tabs>
        <w:spacing w:after="0" w:line="322" w:lineRule="exact"/>
        <w:ind w:firstLine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405DE7" w:rsidRPr="00405DE7">
        <w:rPr>
          <w:rFonts w:ascii="Times New Roman" w:hAnsi="Times New Roman" w:cs="Times New Roman"/>
          <w:lang w:val="uk-UA"/>
        </w:rPr>
        <w:t xml:space="preserve">У рамках програми проведено обслуговування та ремонт димових і вентиляційних каналів газових </w:t>
      </w:r>
      <w:proofErr w:type="spellStart"/>
      <w:r w:rsidR="00405DE7" w:rsidRPr="00405DE7">
        <w:rPr>
          <w:rFonts w:ascii="Times New Roman" w:hAnsi="Times New Roman" w:cs="Times New Roman"/>
          <w:lang w:val="uk-UA"/>
        </w:rPr>
        <w:t>топочних</w:t>
      </w:r>
      <w:proofErr w:type="spellEnd"/>
      <w:r w:rsidR="00405DE7" w:rsidRPr="00405DE7">
        <w:rPr>
          <w:rFonts w:ascii="Times New Roman" w:hAnsi="Times New Roman" w:cs="Times New Roman"/>
          <w:lang w:val="uk-UA"/>
        </w:rPr>
        <w:t xml:space="preserve"> у Новгород-Сіверська міська бібліотека та Новгород-Сіверська мистецька школа, що сприяло забезпеченню безпечної експлуатації опалювальних систем та дотриманню вимог технічної безпеки.</w:t>
      </w:r>
    </w:p>
    <w:p w:rsidR="00405DE7" w:rsidRPr="00405DE7" w:rsidRDefault="00A759E3" w:rsidP="00A759E3">
      <w:pPr>
        <w:pStyle w:val="21"/>
        <w:tabs>
          <w:tab w:val="left" w:pos="284"/>
          <w:tab w:val="left" w:pos="567"/>
        </w:tabs>
        <w:spacing w:after="0" w:line="322" w:lineRule="exact"/>
        <w:ind w:firstLine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405DE7" w:rsidRPr="00405DE7">
        <w:rPr>
          <w:rFonts w:ascii="Times New Roman" w:hAnsi="Times New Roman" w:cs="Times New Roman"/>
          <w:lang w:val="uk-UA"/>
        </w:rPr>
        <w:t xml:space="preserve">З метою підвищення рівня безпеки відвідувачів та працівників закладів було розроблено </w:t>
      </w:r>
      <w:proofErr w:type="spellStart"/>
      <w:r w:rsidR="00405DE7" w:rsidRPr="00405DE7">
        <w:rPr>
          <w:rFonts w:ascii="Times New Roman" w:hAnsi="Times New Roman" w:cs="Times New Roman"/>
          <w:lang w:val="uk-UA"/>
        </w:rPr>
        <w:t>проєктну</w:t>
      </w:r>
      <w:proofErr w:type="spellEnd"/>
      <w:r w:rsidR="00405DE7" w:rsidRPr="00405DE7">
        <w:rPr>
          <w:rFonts w:ascii="Times New Roman" w:hAnsi="Times New Roman" w:cs="Times New Roman"/>
          <w:lang w:val="uk-UA"/>
        </w:rPr>
        <w:t xml:space="preserve"> документацію щодо облаштування систем протипожежного захисту у приміщеннях споруд цивільного захисту КЗ ПМО «Новгород-Сіверська мистецька школа» та КЗ «Новгород-Сіверський міський будинок культури». Реалізація цих заходів створює передумови для підвищення рівня техногенної та пожежної безпеки об’єктів.</w:t>
      </w:r>
    </w:p>
    <w:p w:rsidR="00405DE7" w:rsidRPr="00405DE7" w:rsidRDefault="00A759E3" w:rsidP="00A759E3">
      <w:pPr>
        <w:pStyle w:val="21"/>
        <w:tabs>
          <w:tab w:val="left" w:pos="284"/>
          <w:tab w:val="left" w:pos="567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405DE7" w:rsidRPr="00405DE7">
        <w:rPr>
          <w:rFonts w:ascii="Times New Roman" w:hAnsi="Times New Roman" w:cs="Times New Roman"/>
          <w:lang w:val="uk-UA"/>
        </w:rPr>
        <w:t>Крім того, забезпечено безперебійний доступ до мережі Інтернет у закладах культури, що дозволяє використовувати сучасні цифрові ресурси, організовувати онлайн-комунікацію, інформаційне обслуговування населення та проводити культурно-освітні заходи.</w:t>
      </w:r>
      <w:r>
        <w:rPr>
          <w:rFonts w:ascii="Times New Roman" w:hAnsi="Times New Roman" w:cs="Times New Roman"/>
          <w:lang w:val="uk-UA"/>
        </w:rPr>
        <w:t xml:space="preserve"> </w:t>
      </w:r>
      <w:r w:rsidR="00405DE7" w:rsidRPr="00405DE7">
        <w:rPr>
          <w:rFonts w:ascii="Times New Roman" w:hAnsi="Times New Roman" w:cs="Times New Roman"/>
          <w:lang w:val="uk-UA"/>
        </w:rPr>
        <w:t xml:space="preserve">Для забезпечення належного функціонування інформаційних систем здійснено обробку даних та формування кваліфікованих сертифікатів відкритих ключів, а також їх обслуговування і </w:t>
      </w:r>
      <w:proofErr w:type="spellStart"/>
      <w:r w:rsidR="00405DE7" w:rsidRPr="00405DE7">
        <w:rPr>
          <w:rFonts w:ascii="Times New Roman" w:hAnsi="Times New Roman" w:cs="Times New Roman"/>
          <w:lang w:val="uk-UA"/>
        </w:rPr>
        <w:t>перевидачу</w:t>
      </w:r>
      <w:proofErr w:type="spellEnd"/>
      <w:r w:rsidR="00405DE7" w:rsidRPr="00405DE7">
        <w:rPr>
          <w:rFonts w:ascii="Times New Roman" w:hAnsi="Times New Roman" w:cs="Times New Roman"/>
          <w:lang w:val="uk-UA"/>
        </w:rPr>
        <w:t>. Це дозволило гарантувати безпечний електронний документообіг та роботу з офіційними електронними сервісами.</w:t>
      </w:r>
      <w:r>
        <w:rPr>
          <w:rFonts w:ascii="Times New Roman" w:hAnsi="Times New Roman" w:cs="Times New Roman"/>
          <w:lang w:val="uk-UA"/>
        </w:rPr>
        <w:t xml:space="preserve"> </w:t>
      </w:r>
      <w:r w:rsidR="00405DE7" w:rsidRPr="00405DE7">
        <w:rPr>
          <w:rFonts w:ascii="Times New Roman" w:hAnsi="Times New Roman" w:cs="Times New Roman"/>
          <w:lang w:val="uk-UA"/>
        </w:rPr>
        <w:t>Також проведено експертну оцінку комп’ютерної техніки, що забезпечує контроль за станом матеріально-технічної бази та ефективне використання обладнання.</w:t>
      </w:r>
    </w:p>
    <w:p w:rsidR="00405DE7" w:rsidRDefault="00405DE7" w:rsidP="00405DE7">
      <w:pPr>
        <w:pStyle w:val="21"/>
        <w:shd w:val="clear" w:color="auto" w:fill="auto"/>
        <w:tabs>
          <w:tab w:val="left" w:pos="284"/>
        </w:tabs>
        <w:spacing w:before="300" w:line="322" w:lineRule="exact"/>
        <w:ind w:firstLine="0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ab/>
      </w:r>
      <w:r>
        <w:rPr>
          <w:rFonts w:ascii="Times New Roman" w:hAnsi="Times New Roman" w:cs="Times New Roman"/>
          <w:lang w:val="uk-UA"/>
        </w:rPr>
        <w:tab/>
      </w:r>
      <w:r w:rsidRPr="00405DE7">
        <w:rPr>
          <w:rFonts w:ascii="Times New Roman" w:hAnsi="Times New Roman" w:cs="Times New Roman"/>
          <w:lang w:val="uk-UA"/>
        </w:rPr>
        <w:t xml:space="preserve">У межах модернізації технічної інфраструктури закладів придбано комп’ютерне та мережеве обладнання (кабель «вита пара», </w:t>
      </w:r>
      <w:proofErr w:type="spellStart"/>
      <w:r w:rsidRPr="00405DE7">
        <w:rPr>
          <w:rFonts w:ascii="Times New Roman" w:hAnsi="Times New Roman" w:cs="Times New Roman"/>
          <w:lang w:val="uk-UA"/>
        </w:rPr>
        <w:t>Wi-Fi</w:t>
      </w:r>
      <w:proofErr w:type="spellEnd"/>
      <w:r w:rsidRPr="00405DE7">
        <w:rPr>
          <w:rFonts w:ascii="Times New Roman" w:hAnsi="Times New Roman" w:cs="Times New Roman"/>
          <w:lang w:val="uk-UA"/>
        </w:rPr>
        <w:t xml:space="preserve"> адаптери, </w:t>
      </w:r>
      <w:proofErr w:type="spellStart"/>
      <w:r w:rsidRPr="00405DE7">
        <w:rPr>
          <w:rFonts w:ascii="Times New Roman" w:hAnsi="Times New Roman" w:cs="Times New Roman"/>
          <w:lang w:val="uk-UA"/>
        </w:rPr>
        <w:t>конектори</w:t>
      </w:r>
      <w:proofErr w:type="spellEnd"/>
      <w:r w:rsidRPr="00405DE7">
        <w:rPr>
          <w:rFonts w:ascii="Times New Roman" w:hAnsi="Times New Roman" w:cs="Times New Roman"/>
          <w:lang w:val="uk-UA"/>
        </w:rPr>
        <w:t>, комутатори, клавіатури), що сприяє покращенню якості інтернет-з’єднання, стабільній роботі комп’ютерної техніки та розширенню можливостей для використання цифрових технологій у роботі закладів культури.</w:t>
      </w:r>
      <w:r w:rsidR="00CF2D2F" w:rsidRPr="007D07C5">
        <w:rPr>
          <w:rFonts w:ascii="Times New Roman" w:hAnsi="Times New Roman" w:cs="Times New Roman"/>
          <w:bCs/>
          <w:lang w:val="uk-UA"/>
        </w:rPr>
        <w:t xml:space="preserve">    </w:t>
      </w:r>
    </w:p>
    <w:p w:rsidR="00CF2D2F" w:rsidRPr="007D07C5" w:rsidRDefault="00CF2D2F" w:rsidP="00405DE7">
      <w:pPr>
        <w:pStyle w:val="21"/>
        <w:shd w:val="clear" w:color="auto" w:fill="auto"/>
        <w:tabs>
          <w:tab w:val="left" w:pos="284"/>
        </w:tabs>
        <w:spacing w:before="300" w:line="322" w:lineRule="exact"/>
        <w:ind w:firstLine="0"/>
        <w:jc w:val="both"/>
        <w:rPr>
          <w:rFonts w:ascii="Times New Roman" w:hAnsi="Times New Roman" w:cs="Times New Roman"/>
          <w:lang w:val="uk-UA"/>
        </w:rPr>
      </w:pPr>
      <w:r w:rsidRPr="007D07C5">
        <w:rPr>
          <w:rFonts w:ascii="Times New Roman" w:hAnsi="Times New Roman" w:cs="Times New Roman"/>
          <w:bCs/>
          <w:lang w:val="uk-UA"/>
        </w:rPr>
        <w:t xml:space="preserve">        </w:t>
      </w:r>
      <w:r w:rsidR="00405DE7" w:rsidRPr="00405DE7">
        <w:rPr>
          <w:rFonts w:ascii="Times New Roman" w:hAnsi="Times New Roman" w:cs="Times New Roman"/>
          <w:bCs/>
          <w:lang w:val="uk-UA"/>
        </w:rPr>
        <w:t>Таким чином, виконання заходів Програми забезпечило підтримку та розвиток інформаційно-технічної інфраструктури закладів культури, підвищення рівня їх безпеки, ефективне ведення фінансово-господарської діяльності та впровадження сучасних цифрових технологій у роботі установ культури громади</w:t>
      </w:r>
      <w:r w:rsidRPr="007D07C5">
        <w:rPr>
          <w:rFonts w:ascii="Times New Roman" w:hAnsi="Times New Roman" w:cs="Times New Roman"/>
          <w:bCs/>
          <w:lang w:val="uk-UA"/>
        </w:rPr>
        <w:t xml:space="preserve">                                                                        </w:t>
      </w:r>
    </w:p>
    <w:p w:rsidR="00CF2D2F" w:rsidRDefault="00CF2D2F" w:rsidP="00405DE7">
      <w:pPr>
        <w:pStyle w:val="21"/>
        <w:spacing w:after="0" w:line="240" w:lineRule="auto"/>
        <w:ind w:left="5670" w:firstLine="0"/>
        <w:rPr>
          <w:bCs/>
          <w:sz w:val="24"/>
          <w:szCs w:val="24"/>
          <w:lang w:val="uk-UA"/>
        </w:rPr>
      </w:pPr>
    </w:p>
    <w:p w:rsidR="00CF2D2F" w:rsidRDefault="00CF2D2F" w:rsidP="00405DE7">
      <w:pPr>
        <w:ind w:left="35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DE12C8" w:rsidRPr="00DE12C8" w:rsidRDefault="00DE12C8" w:rsidP="00DE12C8">
      <w:pPr>
        <w:widowControl w:val="0"/>
        <w:tabs>
          <w:tab w:val="left" w:pos="567"/>
        </w:tabs>
        <w:spacing w:line="322" w:lineRule="exact"/>
        <w:jc w:val="both"/>
        <w:rPr>
          <w:rFonts w:eastAsiaTheme="minorHAnsi"/>
          <w:bCs/>
          <w:sz w:val="28"/>
          <w:szCs w:val="28"/>
          <w:lang w:val="uk-UA" w:eastAsia="x-none"/>
        </w:rPr>
      </w:pPr>
      <w:r w:rsidRPr="00DE12C8">
        <w:rPr>
          <w:rFonts w:eastAsiaTheme="minorHAnsi"/>
          <w:sz w:val="28"/>
          <w:szCs w:val="28"/>
          <w:lang w:val="uk-UA" w:eastAsia="en-US"/>
        </w:rPr>
        <w:t>Начальник відділу культури і туризму</w:t>
      </w:r>
    </w:p>
    <w:p w:rsidR="00DE12C8" w:rsidRPr="00DE12C8" w:rsidRDefault="00DE12C8" w:rsidP="00DE12C8">
      <w:pPr>
        <w:widowControl w:val="0"/>
        <w:tabs>
          <w:tab w:val="left" w:pos="567"/>
        </w:tabs>
        <w:spacing w:line="322" w:lineRule="exact"/>
        <w:jc w:val="both"/>
        <w:rPr>
          <w:rFonts w:eastAsiaTheme="minorHAnsi"/>
          <w:sz w:val="28"/>
          <w:szCs w:val="28"/>
          <w:lang w:val="uk-UA" w:eastAsia="x-none"/>
        </w:rPr>
      </w:pPr>
      <w:r w:rsidRPr="00DE12C8">
        <w:rPr>
          <w:sz w:val="28"/>
          <w:szCs w:val="28"/>
          <w:lang w:val="uk-UA"/>
        </w:rPr>
        <w:t>міської ради</w:t>
      </w:r>
      <w:r w:rsidRPr="00DE12C8">
        <w:rPr>
          <w:lang w:val="uk-UA"/>
        </w:rPr>
        <w:tab/>
        <w:t xml:space="preserve">                                                                                                                                   </w:t>
      </w:r>
      <w:r w:rsidRPr="00DE12C8">
        <w:rPr>
          <w:sz w:val="28"/>
          <w:szCs w:val="28"/>
          <w:lang w:val="uk-UA"/>
        </w:rPr>
        <w:t>Світлана ВЕНГЕР</w:t>
      </w:r>
      <w:r w:rsidRPr="00DE12C8">
        <w:rPr>
          <w:rFonts w:eastAsiaTheme="minorHAnsi"/>
          <w:bCs/>
          <w:sz w:val="28"/>
          <w:szCs w:val="28"/>
          <w:lang w:val="uk-UA" w:eastAsia="x-none"/>
        </w:rPr>
        <w:t xml:space="preserve">                                                                           </w:t>
      </w:r>
    </w:p>
    <w:p w:rsidR="003D0955" w:rsidRPr="00CF2D2F" w:rsidRDefault="003D0955" w:rsidP="00405DE7">
      <w:pPr>
        <w:rPr>
          <w:lang w:val="uk-UA"/>
        </w:rPr>
      </w:pPr>
      <w:bookmarkStart w:id="0" w:name="_GoBack"/>
      <w:bookmarkEnd w:id="0"/>
    </w:p>
    <w:sectPr w:rsidR="003D0955" w:rsidRPr="00CF2D2F" w:rsidSect="00F72C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2F"/>
    <w:rsid w:val="00092F69"/>
    <w:rsid w:val="000A1AE7"/>
    <w:rsid w:val="00165E57"/>
    <w:rsid w:val="001B5B3B"/>
    <w:rsid w:val="0020396D"/>
    <w:rsid w:val="00244DFE"/>
    <w:rsid w:val="002C4C7B"/>
    <w:rsid w:val="003A199E"/>
    <w:rsid w:val="003A1B63"/>
    <w:rsid w:val="003A424B"/>
    <w:rsid w:val="003D0955"/>
    <w:rsid w:val="00405DE7"/>
    <w:rsid w:val="00447D44"/>
    <w:rsid w:val="0047022F"/>
    <w:rsid w:val="005554A8"/>
    <w:rsid w:val="00590CDC"/>
    <w:rsid w:val="005A150F"/>
    <w:rsid w:val="005B5289"/>
    <w:rsid w:val="00684E32"/>
    <w:rsid w:val="00706273"/>
    <w:rsid w:val="00720DDA"/>
    <w:rsid w:val="007959C1"/>
    <w:rsid w:val="007B2567"/>
    <w:rsid w:val="007D07C5"/>
    <w:rsid w:val="00931B76"/>
    <w:rsid w:val="009352E7"/>
    <w:rsid w:val="009C4430"/>
    <w:rsid w:val="009D34B6"/>
    <w:rsid w:val="00A314B3"/>
    <w:rsid w:val="00A759E3"/>
    <w:rsid w:val="00A80380"/>
    <w:rsid w:val="00BA29CB"/>
    <w:rsid w:val="00C66952"/>
    <w:rsid w:val="00CA49CF"/>
    <w:rsid w:val="00CF2D2F"/>
    <w:rsid w:val="00D6726C"/>
    <w:rsid w:val="00DE12C8"/>
    <w:rsid w:val="00E64082"/>
    <w:rsid w:val="00E779CA"/>
    <w:rsid w:val="00ED335C"/>
    <w:rsid w:val="00F17765"/>
    <w:rsid w:val="00F7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DD309F-77E4-4D27-938F-8A78251B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D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locked/>
    <w:rsid w:val="00CF2D2F"/>
    <w:rPr>
      <w:sz w:val="28"/>
      <w:szCs w:val="28"/>
      <w:shd w:val="clear" w:color="auto" w:fill="FFFFFF"/>
      <w:lang w:val="x-none" w:eastAsia="x-none"/>
    </w:rPr>
  </w:style>
  <w:style w:type="paragraph" w:customStyle="1" w:styleId="21">
    <w:name w:val="Основной текст (2)1"/>
    <w:basedOn w:val="a"/>
    <w:link w:val="2"/>
    <w:rsid w:val="00CF2D2F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sz w:val="28"/>
      <w:szCs w:val="28"/>
      <w:lang w:val="x-none" w:eastAsia="x-none"/>
    </w:rPr>
  </w:style>
  <w:style w:type="character" w:customStyle="1" w:styleId="a3">
    <w:name w:val="Подпись к таблице_"/>
    <w:link w:val="1"/>
    <w:qFormat/>
    <w:locked/>
    <w:rsid w:val="00CF2D2F"/>
    <w:rPr>
      <w:sz w:val="28"/>
      <w:szCs w:val="28"/>
      <w:shd w:val="clear" w:color="auto" w:fill="FFFFFF"/>
    </w:rPr>
  </w:style>
  <w:style w:type="paragraph" w:customStyle="1" w:styleId="1">
    <w:name w:val="Подпись к таблице1"/>
    <w:basedOn w:val="a"/>
    <w:link w:val="a3"/>
    <w:rsid w:val="00CF2D2F"/>
    <w:pPr>
      <w:widowControl w:val="0"/>
      <w:shd w:val="clear" w:color="auto" w:fill="FFFFFF"/>
      <w:spacing w:after="16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9">
    <w:name w:val="Основной текст (2) + 9"/>
    <w:aliases w:val="5 pt,Полужирный"/>
    <w:rsid w:val="00CF2D2F"/>
    <w:rPr>
      <w:rFonts w:ascii="Times New Roman" w:eastAsia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uk-UA" w:eastAsia="uk-UA" w:bidi="uk-UA"/>
    </w:rPr>
  </w:style>
  <w:style w:type="paragraph" w:styleId="a4">
    <w:name w:val="List"/>
    <w:basedOn w:val="a"/>
    <w:rsid w:val="00F17765"/>
    <w:pPr>
      <w:ind w:left="283" w:hanging="283"/>
    </w:pPr>
  </w:style>
  <w:style w:type="paragraph" w:styleId="a5">
    <w:name w:val="List Paragraph"/>
    <w:basedOn w:val="a"/>
    <w:uiPriority w:val="34"/>
    <w:qFormat/>
    <w:rsid w:val="00935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2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dcterms:created xsi:type="dcterms:W3CDTF">2026-03-25T10:40:00Z</dcterms:created>
  <dcterms:modified xsi:type="dcterms:W3CDTF">2026-03-26T08:43:00Z</dcterms:modified>
</cp:coreProperties>
</file>